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 provvigione: importo e quando matura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La parte </w:t>
      </w:r>
      <w:r>
        <w:rPr>
          <w:highlight w:val="yellow"/>
        </w:rPr>
        <w:t>[ACQUIRENTE / VENDITRICE]</w:t>
      </w:r>
      <w:r>
        <w:t xml:space="preserve"> riconosce all'agenzia </w:t>
      </w:r>
      <w:r>
        <w:rPr>
          <w:highlight w:val="yellow"/>
        </w:rPr>
        <w:t>[RAGIONE SOCIALE]</w:t>
      </w:r>
      <w:r>
        <w:t xml:space="preserve">, per l'attività di mediazione svolta, una provvigione pari a euro </w:t>
      </w:r>
      <w:r>
        <w:rPr>
          <w:highlight w:val="yellow"/>
        </w:rPr>
        <w:t>[IMPORTO]</w:t>
      </w:r>
      <w:r>
        <w:t xml:space="preserve"> </w:t>
      </w:r>
      <w:r>
        <w:rPr>
          <w:highlight w:val="yellow"/>
        </w:rPr>
        <w:t>[oppure: al ___% del prezzo]</w:t>
      </w:r>
      <w:r>
        <w:t xml:space="preserve"> oltre IVA di legge.</w:t>
      </w:r>
    </w:p>
    <w:p>
      <w:r>
        <w:t xml:space="preserve">La provvigione matura con la conclusione dell'affare, cioè al momento in cui la parte proponente ha conoscenza dell'accettazione della proposta, e sarà corrisposta </w:t>
      </w:r>
      <w:r>
        <w:rPr>
          <w:highlight w:val="yellow"/>
        </w:rPr>
        <w:t>[ALL'ACCETTAZIONE / AL ROGITO / IN PARTI: ___]</w:t>
      </w:r>
      <w:r>
        <w:t>.</w:t>
      </w:r>
    </w:p>
    <w:p>
      <w:r>
        <w:t>Se la proposta è sottoposta a condizione sospensiva, la provvigione matura quando la condizione si avvera.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